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12481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124817" w:rsidP="001248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481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4817" w:rsidRDefault="00124817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 xml:space="preserve">зация социального </w:t>
      </w:r>
      <w:proofErr w:type="gramStart"/>
      <w:r w:rsidR="0003779D">
        <w:rPr>
          <w:rFonts w:ascii="Times New Roman" w:hAnsi="Times New Roman" w:cs="Times New Roman"/>
          <w:bCs/>
          <w:i/>
          <w:sz w:val="28"/>
          <w:szCs w:val="28"/>
        </w:rPr>
        <w:t>обеспечения</w:t>
      </w:r>
      <w:proofErr w:type="gramEnd"/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проекту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19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27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38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124817">
        <w:rPr>
          <w:noProof/>
          <w:sz w:val="28"/>
          <w:szCs w:val="28"/>
        </w:rPr>
        <w:t>47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71139C" w:rsidRPr="00496DC9" w:rsidTr="00BD6FCB">
        <w:trPr>
          <w:trHeight w:val="286"/>
          <w:tblHeader/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71139C" w:rsidRPr="00496DC9" w:rsidRDefault="0071139C" w:rsidP="00BD6F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 ней устойчивый интерес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выполнения профессиональных задач, оценивать их эффективность и кач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обновления технологий в професси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водственной санитарии, инфекционной и противопожарной безопасности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</w:tr>
      <w:tr w:rsidR="0071139C" w:rsidRPr="00496DC9" w:rsidTr="00BD6FCB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71139C" w:rsidRPr="00496DC9" w:rsidRDefault="0071139C" w:rsidP="00BD6F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4370" w:type="pct"/>
            <w:shd w:val="clear" w:color="auto" w:fill="auto"/>
          </w:tcPr>
          <w:p w:rsidR="0071139C" w:rsidRPr="00496DC9" w:rsidRDefault="0071139C" w:rsidP="00BD6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о здоровом образе жизни, поддерживать должный уровень физической подготовленности, необходимый для социальной и профессиональной деятел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</w:tbl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GoBack"/>
      <w:bookmarkEnd w:id="10"/>
    </w:p>
    <w:p w:rsidR="009A469D" w:rsidRDefault="009A469D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124817" w:rsidRDefault="007F6183" w:rsidP="00CE10CD">
      <w:pPr>
        <w:pStyle w:val="2"/>
        <w:rPr>
          <w:lang w:val="ru-RU"/>
        </w:rPr>
      </w:pPr>
      <w:bookmarkStart w:id="17" w:name="_Toc529877641"/>
      <w:r w:rsidRPr="00124817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>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</w:t>
      </w:r>
      <w:proofErr w:type="spellStart"/>
      <w:r w:rsidRPr="008261B1">
        <w:rPr>
          <w:rFonts w:ascii="Times New Roman" w:hAnsi="Times New Roman" w:cs="Times New Roman"/>
          <w:sz w:val="28"/>
          <w:szCs w:val="28"/>
        </w:rPr>
        <w:t>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дений о цитируемом, рассматриваемом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илиупоминаемом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иидентификации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. Ссылки различаются, в частности, по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Подстрочная библиографическая ссылка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оформляетсякак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Профессиональнаяориентация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При нумерации подстрочных библиографических ссылок применяют единообразный порядок для всего </w:t>
      </w:r>
      <w:proofErr w:type="spellStart"/>
      <w:r w:rsidRPr="00CE10CD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CE10C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E10CD">
        <w:rPr>
          <w:rFonts w:ascii="Times New Roman" w:hAnsi="Times New Roman" w:cs="Times New Roman"/>
          <w:sz w:val="28"/>
          <w:szCs w:val="28"/>
        </w:rPr>
        <w:t>квозную</w:t>
      </w:r>
      <w:proofErr w:type="spellEnd"/>
      <w:r w:rsidRPr="00CE10CD">
        <w:rPr>
          <w:rFonts w:ascii="Times New Roman" w:hAnsi="Times New Roman" w:cs="Times New Roman"/>
          <w:sz w:val="28"/>
          <w:szCs w:val="28"/>
        </w:rPr>
        <w:t xml:space="preserve">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0F2E97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0F2E97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lastRenderedPageBreak/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>значения. Каждое приложение должно иметь название. Название приложения 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124817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8972"/>
      </w:tblGrid>
      <w:tr w:rsidR="00124817" w:rsidRPr="00745FAE" w:rsidTr="00124817">
        <w:trPr>
          <w:tblHeader/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с. Заборовки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 1905-1907 гг.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г. Уральска республики  Казахстан  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социально-экономического развития Куйбышевской области в 50-80-х гг. ХХ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 в годы ВОВ, прож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вающих  на Самарской земле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4-го  Государственного подшипникового завода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губернаторов  в 19 веке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- г.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Отрадного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народного образования и культурной жизни в 20-30-е годы 20 века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-  с.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Челно-Вершинского</w:t>
            </w:r>
            <w:proofErr w:type="spell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Самарской области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Самары и </w:t>
            </w:r>
            <w:proofErr w:type="gram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gramEnd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Загоры</w:t>
            </w:r>
            <w:proofErr w:type="spellEnd"/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развития  Самарского края в 16-17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созидатель?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государстве франков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Хазарии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культурного наследия  древних цивилизаций Востока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России и Западной Европе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классического средневековья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образования в Самарской губернии в 19-начале 20 вв.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</w:tr>
      <w:tr w:rsidR="00124817" w:rsidRPr="00745FAE" w:rsidTr="00124817">
        <w:trPr>
          <w:jc w:val="center"/>
        </w:trPr>
        <w:tc>
          <w:tcPr>
            <w:tcW w:w="560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72" w:type="dxa"/>
            <w:vAlign w:val="center"/>
          </w:tcPr>
          <w:p w:rsidR="00124817" w:rsidRPr="00745FAE" w:rsidRDefault="00124817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  <w:r w:rsidR="009B329B" w:rsidRPr="00745FAE">
        <w:rPr>
          <w:i/>
          <w:iCs/>
          <w:sz w:val="28"/>
          <w:szCs w:val="28"/>
        </w:rPr>
        <w:t xml:space="preserve"> 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9B329B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   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Такие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менников тех страшных событий в истории нашей страны, участников парада  в   г. Куйбышеве 7 ноября 1941 года. О судьбах этих людей, об их фронтовых п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двигах и боевых наградах нам мало что известно.  В преддверии знаменател</w:t>
      </w:r>
      <w:r w:rsidRPr="00745FAE">
        <w:rPr>
          <w:sz w:val="28"/>
          <w:szCs w:val="28"/>
        </w:rPr>
        <w:t>ь</w:t>
      </w:r>
      <w:r w:rsidRPr="00745FAE">
        <w:rPr>
          <w:sz w:val="28"/>
          <w:szCs w:val="28"/>
        </w:rPr>
        <w:t>ной  даты Парада памяти, посвященного Оружию Победы, которое  ковалось  в годы  Великой Отечественной войны в г.</w:t>
      </w:r>
      <w:r w:rsidR="005975BE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</w:t>
      </w:r>
      <w:r w:rsidR="005975BE" w:rsidRPr="00745FAE">
        <w:rPr>
          <w:sz w:val="28"/>
          <w:szCs w:val="28"/>
        </w:rPr>
        <w:t>я</w:t>
      </w:r>
      <w:r w:rsidR="005975BE" w:rsidRPr="00745FAE">
        <w:rPr>
          <w:sz w:val="28"/>
          <w:szCs w:val="28"/>
        </w:rPr>
        <w:t>ках –ветеранах, участниках</w:t>
      </w:r>
      <w:r w:rsidRPr="00745FAE">
        <w:rPr>
          <w:sz w:val="28"/>
          <w:szCs w:val="28"/>
        </w:rPr>
        <w:t xml:space="preserve"> Парада в </w:t>
      </w:r>
      <w:proofErr w:type="spellStart"/>
      <w:r w:rsidRPr="00745FAE">
        <w:rPr>
          <w:sz w:val="28"/>
          <w:szCs w:val="28"/>
        </w:rPr>
        <w:t>г</w:t>
      </w:r>
      <w:proofErr w:type="gramStart"/>
      <w:r w:rsidRPr="00745FAE">
        <w:rPr>
          <w:sz w:val="28"/>
          <w:szCs w:val="28"/>
        </w:rPr>
        <w:t>.К</w:t>
      </w:r>
      <w:proofErr w:type="gramEnd"/>
      <w:r w:rsidRPr="00745FAE">
        <w:rPr>
          <w:sz w:val="28"/>
          <w:szCs w:val="28"/>
        </w:rPr>
        <w:t>уйбышеве</w:t>
      </w:r>
      <w:proofErr w:type="spellEnd"/>
      <w:r w:rsidRPr="00745FAE">
        <w:rPr>
          <w:sz w:val="28"/>
          <w:szCs w:val="28"/>
        </w:rPr>
        <w:t xml:space="preserve">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Отечественной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земляках-ветеранах.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</w:t>
      </w:r>
      <w:proofErr w:type="gramStart"/>
      <w:r w:rsidRPr="00745FAE">
        <w:rPr>
          <w:sz w:val="28"/>
          <w:szCs w:val="28"/>
        </w:rPr>
        <w:t>в-</w:t>
      </w:r>
      <w:proofErr w:type="gramEnd"/>
      <w:r w:rsidRPr="00745FAE">
        <w:rPr>
          <w:sz w:val="28"/>
          <w:szCs w:val="28"/>
        </w:rPr>
        <w:t xml:space="preserve">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ветеранов,</w:t>
      </w:r>
      <w:r w:rsidR="0000301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Объект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>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</w:t>
      </w:r>
      <w:r w:rsidR="00F527C3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</w:t>
      </w:r>
      <w:r w:rsidR="00942D8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 xml:space="preserve">следования. Исследовательская работа включает в себя введение, основную часть, заключение,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</w:t>
      </w:r>
      <w:r w:rsidR="004744F1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7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7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Ю. Н. История: учебник для студ. учреждений    сред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</w:t>
      </w:r>
      <w:proofErr w:type="gram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745FAE">
        <w:rPr>
          <w:rFonts w:ascii="Times New Roman" w:hAnsi="Times New Roman" w:cs="Times New Roman"/>
          <w:sz w:val="28"/>
          <w:szCs w:val="28"/>
          <w:lang w:eastAsia="ru-RU"/>
        </w:rPr>
        <w:t>Кабытов.П.С</w:t>
      </w:r>
      <w:proofErr w:type="spellEnd"/>
      <w:r w:rsidRPr="00745FAE">
        <w:rPr>
          <w:rFonts w:ascii="Times New Roman" w:hAnsi="Times New Roman" w:cs="Times New Roman"/>
          <w:sz w:val="28"/>
          <w:szCs w:val="28"/>
          <w:lang w:eastAsia="ru-RU"/>
        </w:rPr>
        <w:t>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Дубман.Э.Л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Сказание о первых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самарцах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>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F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FAE">
        <w:rPr>
          <w:rFonts w:ascii="Times New Roman" w:hAnsi="Times New Roman" w:cs="Times New Roman"/>
          <w:sz w:val="28"/>
          <w:szCs w:val="28"/>
        </w:rPr>
        <w:t>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 xml:space="preserve">Научная электронная библиотека </w:t>
      </w:r>
      <w:proofErr w:type="spellStart"/>
      <w:r w:rsidRPr="00745FAE">
        <w:rPr>
          <w:sz w:val="28"/>
          <w:szCs w:val="28"/>
        </w:rPr>
        <w:t>РусАрх</w:t>
      </w:r>
      <w:proofErr w:type="spellEnd"/>
      <w:r w:rsidRPr="00745FAE">
        <w:rPr>
          <w:sz w:val="28"/>
          <w:szCs w:val="28"/>
        </w:rPr>
        <w:t xml:space="preserve">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rodina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45FA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avorhist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5FAE">
        <w:rPr>
          <w:rFonts w:ascii="Times New Roman" w:hAnsi="Times New Roman" w:cs="Times New Roman"/>
          <w:sz w:val="28"/>
          <w:szCs w:val="28"/>
        </w:rPr>
        <w:t xml:space="preserve">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9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</w:t>
      </w:r>
      <w:proofErr w:type="gramStart"/>
      <w:r w:rsidR="00661D7F" w:rsidRPr="00134C17">
        <w:rPr>
          <w:rFonts w:ascii="Times New Roman" w:hAnsi="Times New Roman" w:cs="Times New Roman"/>
          <w:bCs/>
          <w:sz w:val="28"/>
          <w:szCs w:val="28"/>
        </w:rPr>
        <w:t>ст к  пр</w:t>
      </w:r>
      <w:proofErr w:type="gramEnd"/>
      <w:r w:rsidR="00661D7F" w:rsidRPr="00134C17">
        <w:rPr>
          <w:rFonts w:ascii="Times New Roman" w:hAnsi="Times New Roman" w:cs="Times New Roman"/>
          <w:bCs/>
          <w:sz w:val="28"/>
          <w:szCs w:val="28"/>
        </w:rPr>
        <w:t>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0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1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529877663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  <w:proofErr w:type="gramEnd"/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>
        <w:rPr>
          <w:bCs/>
          <w:i/>
          <w:lang w:eastAsia="ar-SA"/>
        </w:rPr>
        <w:t xml:space="preserve">               </w:t>
      </w: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sectPr w:rsidR="001A1954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97" w:rsidRDefault="000F2E97" w:rsidP="00B6539D">
      <w:pPr>
        <w:spacing w:line="240" w:lineRule="auto"/>
      </w:pPr>
      <w:r>
        <w:separator/>
      </w:r>
    </w:p>
  </w:endnote>
  <w:endnote w:type="continuationSeparator" w:id="0">
    <w:p w:rsidR="000F2E97" w:rsidRDefault="000F2E9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Default="00745FA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941C46" w:rsidRDefault="00745FA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71139C">
      <w:rPr>
        <w:rStyle w:val="ad"/>
        <w:rFonts w:ascii="Times New Roman" w:hAnsi="Times New Roman" w:cs="Times New Roman"/>
        <w:noProof/>
        <w:sz w:val="24"/>
        <w:szCs w:val="24"/>
      </w:rPr>
      <w:t>7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97" w:rsidRDefault="000F2E97" w:rsidP="00B6539D">
      <w:pPr>
        <w:spacing w:line="240" w:lineRule="auto"/>
      </w:pPr>
      <w:r>
        <w:separator/>
      </w:r>
    </w:p>
  </w:footnote>
  <w:footnote w:type="continuationSeparator" w:id="0">
    <w:p w:rsidR="000F2E97" w:rsidRDefault="000F2E9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2E97"/>
    <w:rsid w:val="000F52FD"/>
    <w:rsid w:val="00100511"/>
    <w:rsid w:val="00102AA8"/>
    <w:rsid w:val="00104BB4"/>
    <w:rsid w:val="0011391C"/>
    <w:rsid w:val="0012010C"/>
    <w:rsid w:val="00124817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114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4580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139C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57CE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94A2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EF2E-5378-485B-B699-49DB9C9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8988</Words>
  <Characters>51233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2024-01-23T09:10:00Z</dcterms:created>
  <dcterms:modified xsi:type="dcterms:W3CDTF">2024-01-23T09:10:00Z</dcterms:modified>
</cp:coreProperties>
</file>